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Fishbone Generation Protocol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The purpose of this protocol is to arrive at a deeper understanding of the problem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we want to address (before jumping to solutions).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Norms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Avoid Solutionitis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… the goal is to understand the issue, not solve it (yet)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“Yes and”...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the goal is to generate lots of ideas, and not fixate on one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Embrace “definitely incomplete; possibly incorrect”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Share the 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Generating our Problem Statement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(5-7 minutes)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Individual: What is the problem we need to solve? See if you can express the problem in one sentence.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 An example problem statement: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First-generation college students often struggle to connect with existing services on campus.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Initial Brainstorm of Causes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(5 min.)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Based on your work digging into the problem (i.e. empathy interviews, expert convenings, relevant data, research, etc.) and your own ideas/experiences,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highlight w:val="white"/>
          <w:rtl w:val="0"/>
        </w:rPr>
        <w:t xml:space="preserve">individually brainstorm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 as many causes as you can that might contribute to the problem/issue. Write each cause on a different post-it.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highlight w:val="white"/>
          <w:rtl w:val="0"/>
        </w:rPr>
        <w:t xml:space="preserve">For meaty “big” topics, it can help to ask a chain of “why?”.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Shar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 &amp; Categorize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(15-20 min)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highlight w:val="white"/>
          <w:rtl w:val="0"/>
        </w:rPr>
        <w:t xml:space="preserve">Share around 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 Each person shares one cause contributing to the problem. If others have a similar cause, you can start to group those post-its together on your poster.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highlight w:val="white"/>
          <w:rtl w:val="0"/>
        </w:rPr>
        <w:t xml:space="preserve">Continue to share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 your initial brainstorm, building on each other’s ideas and adding new causes that may contribute to the problem.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Cluster on your Poster: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Group related causes together, and give each category a title. (The stuff on the post-its are the details/bones on the fishbone).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Post &amp; Reflect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(5 min)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Post your poster to the wall. Does your diagram capture the root causes you think are important? Anything missing? Then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each person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gets to vote with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one heart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one star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High Leverage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Put a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heart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by the factor, that if addressed, you think would have a significant impact on the problem.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Practical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Put a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star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by the factor that is within your control, that your team could address with little effort.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Debrief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(5 min)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How did we do upholding the norms?  How might we adjust this protocol in the future?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Garamond" w:cs="Garamond" w:eastAsia="Garamond" w:hAnsi="Garamond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sz w:val="20"/>
        <w:szCs w:val="20"/>
        <w:rtl w:val="0"/>
      </w:rPr>
      <w:t xml:space="preserve">This protocol has been created by the High Tech High GSE Center for Research on Equity and Innovation. 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