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F6F76" w14:textId="783E73A7" w:rsidR="00E40AA0" w:rsidRPr="00F1121E" w:rsidRDefault="00F1121E" w:rsidP="00F1121E">
      <w:pPr>
        <w:pStyle w:val="Heading1"/>
        <w:spacing w:before="120" w:line="240" w:lineRule="auto"/>
        <w:ind w:right="-1412"/>
        <w:rPr>
          <w:rFonts w:asciiTheme="majorHAnsi" w:hAnsiTheme="majorHAnsi" w:cstheme="majorHAnsi"/>
          <w:sz w:val="56"/>
          <w:szCs w:val="56"/>
          <w:lang w:val="es-US"/>
        </w:rPr>
      </w:pPr>
      <w:r w:rsidRPr="00F1121E">
        <w:rPr>
          <w:rFonts w:asciiTheme="majorHAnsi" w:hAnsiTheme="majorHAnsi" w:cstheme="majorHAnsi"/>
          <w:color w:val="47D492"/>
          <w:sz w:val="36"/>
          <w:szCs w:val="36"/>
          <w:lang w:val="es-US"/>
        </w:rPr>
        <w:t>P</w:t>
      </w:r>
      <w:r w:rsidR="00FB124B" w:rsidRPr="00F1121E">
        <w:rPr>
          <w:rFonts w:asciiTheme="majorHAnsi" w:hAnsiTheme="majorHAnsi" w:cstheme="majorHAnsi"/>
          <w:color w:val="47D492"/>
          <w:sz w:val="36"/>
          <w:szCs w:val="36"/>
          <w:lang w:val="es-US"/>
        </w:rPr>
        <w:t>lanificación de</w:t>
      </w:r>
      <w:r w:rsidRPr="00F1121E">
        <w:rPr>
          <w:rFonts w:asciiTheme="majorHAnsi" w:hAnsiTheme="majorHAnsi" w:cstheme="majorHAnsi"/>
          <w:color w:val="47D492"/>
          <w:sz w:val="36"/>
          <w:szCs w:val="36"/>
          <w:lang w:val="es-US"/>
        </w:rPr>
        <w:t xml:space="preserve"> un</w:t>
      </w:r>
      <w:r w:rsidR="00FB124B" w:rsidRPr="00F1121E">
        <w:rPr>
          <w:rFonts w:asciiTheme="majorHAnsi" w:hAnsiTheme="majorHAnsi" w:cstheme="majorHAnsi"/>
          <w:color w:val="47D492"/>
          <w:sz w:val="36"/>
          <w:szCs w:val="36"/>
          <w:lang w:val="es-US"/>
        </w:rPr>
        <w:t xml:space="preserve"> aprendizaje profesional </w:t>
      </w:r>
      <w:r w:rsidRPr="00F1121E">
        <w:rPr>
          <w:rFonts w:asciiTheme="majorHAnsi" w:hAnsiTheme="majorHAnsi" w:cstheme="majorHAnsi"/>
          <w:color w:val="47D492"/>
          <w:sz w:val="36"/>
          <w:szCs w:val="36"/>
          <w:lang w:val="es-US"/>
        </w:rPr>
        <w:t>infundido</w:t>
      </w:r>
      <w:r w:rsidR="00FB124B" w:rsidRPr="00F1121E">
        <w:rPr>
          <w:rFonts w:asciiTheme="majorHAnsi" w:hAnsiTheme="majorHAnsi" w:cstheme="majorHAnsi"/>
          <w:color w:val="47D492"/>
          <w:sz w:val="36"/>
          <w:szCs w:val="36"/>
          <w:lang w:val="es-US"/>
        </w:rPr>
        <w:t xml:space="preserve"> con SEL </w:t>
      </w:r>
    </w:p>
    <w:p w14:paraId="155F72F3" w14:textId="77777777" w:rsidR="00073A0E" w:rsidRPr="00FB124B" w:rsidRDefault="00073A0E">
      <w:pPr>
        <w:spacing w:after="0" w:line="240" w:lineRule="auto"/>
        <w:rPr>
          <w:rFonts w:ascii="Century Gothic" w:eastAsia="Century Gothic" w:hAnsi="Century Gothic" w:cs="Century Gothic"/>
          <w:sz w:val="20"/>
          <w:szCs w:val="20"/>
          <w:lang w:val="es-US"/>
        </w:rPr>
      </w:pPr>
    </w:p>
    <w:tbl>
      <w:tblPr>
        <w:tblStyle w:val="a"/>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4595"/>
      </w:tblGrid>
      <w:tr w:rsidR="00073A0E" w:rsidRPr="00FB124B" w14:paraId="7BAFCA48" w14:textId="77777777" w:rsidTr="00F1121E">
        <w:tc>
          <w:tcPr>
            <w:tcW w:w="4765" w:type="dxa"/>
          </w:tcPr>
          <w:p w14:paraId="09C98BF4" w14:textId="2B3D7911" w:rsidR="00073A0E" w:rsidRPr="00FB124B" w:rsidRDefault="00FB124B">
            <w:pPr>
              <w:rPr>
                <w:rFonts w:asciiTheme="majorHAnsi" w:eastAsia="Century Gothic" w:hAnsiTheme="majorHAnsi" w:cs="Century Gothic"/>
                <w:sz w:val="20"/>
                <w:szCs w:val="20"/>
                <w:lang w:val="es-US"/>
              </w:rPr>
            </w:pPr>
            <w:r w:rsidRPr="00FB124B">
              <w:rPr>
                <w:rFonts w:asciiTheme="majorHAnsi" w:eastAsia="Century Gothic" w:hAnsiTheme="majorHAnsi" w:cs="Century Gothic"/>
                <w:b/>
                <w:sz w:val="28"/>
                <w:szCs w:val="28"/>
                <w:lang w:val="es-US"/>
              </w:rPr>
              <w:t>Práctica ejemplar de SEL</w:t>
            </w:r>
          </w:p>
        </w:tc>
        <w:tc>
          <w:tcPr>
            <w:tcW w:w="4595" w:type="dxa"/>
          </w:tcPr>
          <w:p w14:paraId="140AC18C" w14:textId="54C7411C" w:rsidR="00073A0E" w:rsidRPr="00FB124B" w:rsidRDefault="00645E85">
            <w:pPr>
              <w:rPr>
                <w:rFonts w:asciiTheme="majorHAnsi" w:eastAsia="Century Gothic" w:hAnsiTheme="majorHAnsi" w:cs="Century Gothic"/>
                <w:b/>
                <w:sz w:val="28"/>
                <w:szCs w:val="28"/>
                <w:lang w:val="es-US"/>
              </w:rPr>
            </w:pPr>
            <w:r w:rsidRPr="00FB124B">
              <w:rPr>
                <w:rFonts w:asciiTheme="majorHAnsi" w:eastAsia="Century Gothic" w:hAnsiTheme="majorHAnsi" w:cs="Century Gothic"/>
                <w:b/>
                <w:sz w:val="28"/>
                <w:szCs w:val="28"/>
                <w:lang w:val="es-US"/>
              </w:rPr>
              <w:t>Not</w:t>
            </w:r>
            <w:r w:rsidR="00FB124B" w:rsidRPr="00FB124B">
              <w:rPr>
                <w:rFonts w:asciiTheme="majorHAnsi" w:eastAsia="Century Gothic" w:hAnsiTheme="majorHAnsi" w:cs="Century Gothic"/>
                <w:b/>
                <w:sz w:val="28"/>
                <w:szCs w:val="28"/>
                <w:lang w:val="es-US"/>
              </w:rPr>
              <w:t>a</w:t>
            </w:r>
            <w:r w:rsidRPr="00FB124B">
              <w:rPr>
                <w:rFonts w:asciiTheme="majorHAnsi" w:eastAsia="Century Gothic" w:hAnsiTheme="majorHAnsi" w:cs="Century Gothic"/>
                <w:b/>
                <w:sz w:val="28"/>
                <w:szCs w:val="28"/>
                <w:lang w:val="es-US"/>
              </w:rPr>
              <w:t>s</w:t>
            </w:r>
          </w:p>
        </w:tc>
      </w:tr>
      <w:tr w:rsidR="00073A0E" w:rsidRPr="00FB124B" w14:paraId="50FBA457" w14:textId="77777777" w:rsidTr="00F1121E">
        <w:tc>
          <w:tcPr>
            <w:tcW w:w="4765" w:type="dxa"/>
          </w:tcPr>
          <w:p w14:paraId="21F035BA" w14:textId="5704CA80" w:rsidR="00073A0E" w:rsidRPr="00F1121E" w:rsidRDefault="00FB124B">
            <w:pPr>
              <w:rPr>
                <w:rFonts w:asciiTheme="majorHAnsi" w:eastAsia="Century Gothic" w:hAnsiTheme="majorHAnsi" w:cs="Century Gothic"/>
                <w:lang w:val="es-US"/>
              </w:rPr>
            </w:pPr>
            <w:r w:rsidRPr="00F1121E">
              <w:rPr>
                <w:rFonts w:asciiTheme="majorHAnsi" w:eastAsia="Century Gothic" w:hAnsiTheme="majorHAnsi" w:cs="Century Gothic"/>
                <w:lang w:val="es-US"/>
              </w:rPr>
              <w:t>Las actividades de la sesión demuestran prácticas que activan/desarrollan habilidades sociales y emocionales</w:t>
            </w:r>
            <w:r w:rsidR="00645E85" w:rsidRPr="00F1121E">
              <w:rPr>
                <w:rFonts w:asciiTheme="majorHAnsi" w:eastAsia="Century Gothic" w:hAnsiTheme="majorHAnsi" w:cs="Century Gothic"/>
                <w:lang w:val="es-US"/>
              </w:rPr>
              <w:t>.</w:t>
            </w:r>
          </w:p>
          <w:p w14:paraId="1749E6EE" w14:textId="40E289C5" w:rsidR="00073A0E" w:rsidRPr="00FB124B" w:rsidRDefault="00FB124B">
            <w:pPr>
              <w:numPr>
                <w:ilvl w:val="0"/>
                <w:numId w:val="1"/>
              </w:numPr>
              <w:rPr>
                <w:rFonts w:asciiTheme="majorHAnsi" w:eastAsia="Century Gothic" w:hAnsiTheme="majorHAnsi" w:cs="Century Gothic"/>
                <w:i/>
                <w:sz w:val="20"/>
                <w:szCs w:val="20"/>
                <w:lang w:val="es-US"/>
              </w:rPr>
            </w:pPr>
            <w:r w:rsidRPr="00FB124B">
              <w:rPr>
                <w:rFonts w:asciiTheme="majorHAnsi" w:eastAsia="Century Gothic" w:hAnsiTheme="majorHAnsi" w:cs="Century Gothic"/>
                <w:i/>
                <w:sz w:val="20"/>
                <w:szCs w:val="20"/>
                <w:lang w:val="es-US"/>
              </w:rPr>
              <w:t>Incluye una actividad de bienvenida</w:t>
            </w:r>
          </w:p>
          <w:p w14:paraId="092D0172" w14:textId="677F9478" w:rsidR="00073A0E" w:rsidRPr="00FB124B" w:rsidRDefault="00FB124B">
            <w:pPr>
              <w:numPr>
                <w:ilvl w:val="0"/>
                <w:numId w:val="1"/>
              </w:numPr>
              <w:rPr>
                <w:rFonts w:asciiTheme="majorHAnsi" w:eastAsia="Century Gothic" w:hAnsiTheme="majorHAnsi" w:cs="Century Gothic"/>
                <w:i/>
                <w:sz w:val="20"/>
                <w:szCs w:val="20"/>
                <w:lang w:val="es-US"/>
              </w:rPr>
            </w:pPr>
            <w:r w:rsidRPr="00FB124B">
              <w:rPr>
                <w:rFonts w:asciiTheme="majorHAnsi" w:eastAsia="Century Gothic" w:hAnsiTheme="majorHAnsi" w:cs="Century Gothic"/>
                <w:i/>
                <w:sz w:val="20"/>
                <w:szCs w:val="20"/>
                <w:lang w:val="es-US"/>
              </w:rPr>
              <w:t>Establece normas/acuerdos compartidos</w:t>
            </w:r>
          </w:p>
          <w:p w14:paraId="1E9D22BF" w14:textId="2235E14F" w:rsidR="00073A0E" w:rsidRPr="00FB124B" w:rsidRDefault="00FB124B">
            <w:pPr>
              <w:numPr>
                <w:ilvl w:val="0"/>
                <w:numId w:val="1"/>
              </w:numPr>
              <w:rPr>
                <w:rFonts w:asciiTheme="majorHAnsi" w:eastAsia="Century Gothic" w:hAnsiTheme="majorHAnsi" w:cs="Century Gothic"/>
                <w:i/>
                <w:sz w:val="20"/>
                <w:szCs w:val="20"/>
                <w:lang w:val="es-US"/>
              </w:rPr>
            </w:pPr>
            <w:r w:rsidRPr="00FB124B">
              <w:rPr>
                <w:rFonts w:asciiTheme="majorHAnsi" w:eastAsia="Century Gothic" w:hAnsiTheme="majorHAnsi" w:cs="Century Gothic"/>
                <w:i/>
                <w:sz w:val="20"/>
                <w:szCs w:val="20"/>
                <w:lang w:val="es-US"/>
              </w:rPr>
              <w:t>Utiliza prácticas atractivas</w:t>
            </w:r>
          </w:p>
          <w:p w14:paraId="0D4AB2EF" w14:textId="04952A65" w:rsidR="00073A0E" w:rsidRPr="00FB124B" w:rsidRDefault="00FB124B">
            <w:pPr>
              <w:numPr>
                <w:ilvl w:val="0"/>
                <w:numId w:val="1"/>
              </w:numPr>
              <w:rPr>
                <w:rFonts w:asciiTheme="majorHAnsi" w:eastAsia="Century Gothic" w:hAnsiTheme="majorHAnsi" w:cs="Century Gothic"/>
                <w:i/>
                <w:sz w:val="20"/>
                <w:szCs w:val="20"/>
                <w:lang w:val="es-US"/>
              </w:rPr>
            </w:pPr>
            <w:r w:rsidRPr="00FB124B">
              <w:rPr>
                <w:rFonts w:asciiTheme="majorHAnsi" w:eastAsia="Century Gothic" w:hAnsiTheme="majorHAnsi" w:cs="Century Gothic"/>
                <w:i/>
                <w:sz w:val="20"/>
                <w:szCs w:val="20"/>
                <w:lang w:val="es-US"/>
              </w:rPr>
              <w:t>Incorpora tiempo para reflexión, procesamiento, conclusiones</w:t>
            </w:r>
            <w:r w:rsidR="00645E85" w:rsidRPr="00FB124B">
              <w:rPr>
                <w:rFonts w:asciiTheme="majorHAnsi" w:eastAsia="Century Gothic" w:hAnsiTheme="majorHAnsi" w:cs="Century Gothic"/>
                <w:i/>
                <w:sz w:val="20"/>
                <w:szCs w:val="20"/>
                <w:lang w:val="es-US"/>
              </w:rPr>
              <w:t xml:space="preserve"> </w:t>
            </w:r>
          </w:p>
          <w:p w14:paraId="7BC3BF86" w14:textId="6606CFB8" w:rsidR="00073A0E" w:rsidRPr="00FB124B" w:rsidRDefault="00FB124B">
            <w:pPr>
              <w:numPr>
                <w:ilvl w:val="0"/>
                <w:numId w:val="1"/>
              </w:numPr>
              <w:rPr>
                <w:rFonts w:asciiTheme="majorHAnsi" w:eastAsia="Century Gothic" w:hAnsiTheme="majorHAnsi" w:cs="Century Gothic"/>
                <w:i/>
                <w:sz w:val="16"/>
                <w:szCs w:val="16"/>
                <w:lang w:val="es-US"/>
              </w:rPr>
            </w:pPr>
            <w:r w:rsidRPr="00FB124B">
              <w:rPr>
                <w:rFonts w:asciiTheme="majorHAnsi" w:eastAsia="Century Gothic" w:hAnsiTheme="majorHAnsi" w:cs="Century Gothic"/>
                <w:i/>
                <w:sz w:val="20"/>
                <w:szCs w:val="20"/>
                <w:lang w:val="es-US"/>
              </w:rPr>
              <w:t>Incluye un cierre optimista</w:t>
            </w:r>
          </w:p>
          <w:p w14:paraId="05BF417C" w14:textId="44F4BB57" w:rsidR="00E40AA0" w:rsidRPr="00FB124B" w:rsidRDefault="00E40AA0" w:rsidP="00E40AA0">
            <w:pPr>
              <w:rPr>
                <w:rFonts w:asciiTheme="majorHAnsi" w:eastAsia="Century Gothic" w:hAnsiTheme="majorHAnsi" w:cs="Century Gothic"/>
                <w:i/>
                <w:sz w:val="16"/>
                <w:szCs w:val="16"/>
                <w:lang w:val="es-US"/>
              </w:rPr>
            </w:pPr>
          </w:p>
        </w:tc>
        <w:tc>
          <w:tcPr>
            <w:tcW w:w="4595" w:type="dxa"/>
          </w:tcPr>
          <w:p w14:paraId="153FF08A" w14:textId="77777777" w:rsidR="00073A0E" w:rsidRPr="00FB124B" w:rsidRDefault="00073A0E">
            <w:pPr>
              <w:rPr>
                <w:rFonts w:asciiTheme="majorHAnsi" w:eastAsia="Century Gothic" w:hAnsiTheme="majorHAnsi" w:cs="Century Gothic"/>
                <w:sz w:val="20"/>
                <w:szCs w:val="20"/>
                <w:lang w:val="es-US"/>
              </w:rPr>
            </w:pPr>
          </w:p>
        </w:tc>
      </w:tr>
      <w:tr w:rsidR="00073A0E" w:rsidRPr="00FB124B" w14:paraId="00F34658" w14:textId="77777777" w:rsidTr="00F1121E">
        <w:tc>
          <w:tcPr>
            <w:tcW w:w="4765" w:type="dxa"/>
          </w:tcPr>
          <w:p w14:paraId="60DC7F03" w14:textId="054F96F6" w:rsidR="00073A0E" w:rsidRPr="00FB124B" w:rsidRDefault="00FB124B">
            <w:pPr>
              <w:rPr>
                <w:rFonts w:asciiTheme="majorHAnsi" w:eastAsia="Century Gothic" w:hAnsiTheme="majorHAnsi" w:cs="Century Gothic"/>
                <w:sz w:val="20"/>
                <w:szCs w:val="20"/>
                <w:lang w:val="es-US"/>
              </w:rPr>
            </w:pPr>
            <w:r w:rsidRPr="00FB124B">
              <w:rPr>
                <w:rFonts w:asciiTheme="majorHAnsi" w:eastAsia="Century Gothic" w:hAnsiTheme="majorHAnsi" w:cs="Century Gothic"/>
                <w:b/>
                <w:sz w:val="28"/>
                <w:szCs w:val="28"/>
                <w:lang w:val="es-US"/>
              </w:rPr>
              <w:t>Orientado a objetivos, basado en evidencia</w:t>
            </w:r>
          </w:p>
        </w:tc>
        <w:tc>
          <w:tcPr>
            <w:tcW w:w="4595" w:type="dxa"/>
          </w:tcPr>
          <w:p w14:paraId="06017507" w14:textId="31362A35" w:rsidR="00073A0E" w:rsidRPr="00FB124B" w:rsidRDefault="00645E85">
            <w:pPr>
              <w:rPr>
                <w:rFonts w:asciiTheme="majorHAnsi" w:eastAsia="Century Gothic" w:hAnsiTheme="majorHAnsi" w:cs="Century Gothic"/>
                <w:b/>
                <w:sz w:val="28"/>
                <w:szCs w:val="28"/>
                <w:lang w:val="es-US"/>
              </w:rPr>
            </w:pPr>
            <w:r w:rsidRPr="00FB124B">
              <w:rPr>
                <w:rFonts w:asciiTheme="majorHAnsi" w:eastAsia="Century Gothic" w:hAnsiTheme="majorHAnsi" w:cs="Century Gothic"/>
                <w:b/>
                <w:sz w:val="28"/>
                <w:szCs w:val="28"/>
                <w:lang w:val="es-US"/>
              </w:rPr>
              <w:t>Not</w:t>
            </w:r>
            <w:r w:rsidR="00FB124B" w:rsidRPr="00FB124B">
              <w:rPr>
                <w:rFonts w:asciiTheme="majorHAnsi" w:eastAsia="Century Gothic" w:hAnsiTheme="majorHAnsi" w:cs="Century Gothic"/>
                <w:b/>
                <w:sz w:val="28"/>
                <w:szCs w:val="28"/>
                <w:lang w:val="es-US"/>
              </w:rPr>
              <w:t>a</w:t>
            </w:r>
            <w:r w:rsidRPr="00FB124B">
              <w:rPr>
                <w:rFonts w:asciiTheme="majorHAnsi" w:eastAsia="Century Gothic" w:hAnsiTheme="majorHAnsi" w:cs="Century Gothic"/>
                <w:b/>
                <w:sz w:val="28"/>
                <w:szCs w:val="28"/>
                <w:lang w:val="es-US"/>
              </w:rPr>
              <w:t>s</w:t>
            </w:r>
          </w:p>
        </w:tc>
      </w:tr>
      <w:tr w:rsidR="00073A0E" w:rsidRPr="00FB124B" w14:paraId="398A5E2A" w14:textId="77777777" w:rsidTr="00F1121E">
        <w:tc>
          <w:tcPr>
            <w:tcW w:w="4765" w:type="dxa"/>
          </w:tcPr>
          <w:p w14:paraId="0FDE454F" w14:textId="6E5BC6D6" w:rsidR="00073A0E" w:rsidRPr="00F1121E" w:rsidRDefault="00FB124B">
            <w:pPr>
              <w:rPr>
                <w:rFonts w:asciiTheme="majorHAnsi" w:eastAsia="Century Gothic" w:hAnsiTheme="majorHAnsi" w:cs="Century Gothic"/>
                <w:lang w:val="es-US"/>
              </w:rPr>
            </w:pPr>
            <w:r w:rsidRPr="00F1121E">
              <w:rPr>
                <w:rFonts w:asciiTheme="majorHAnsi" w:eastAsia="Century Gothic" w:hAnsiTheme="majorHAnsi" w:cs="Century Gothic"/>
                <w:lang w:val="es-US"/>
              </w:rPr>
              <w:t>Los objetivos de aprendizaje son claros y accionables; los participantes saben desde el principio cómo podrán aplicar el aprendizaje a su práctica</w:t>
            </w:r>
            <w:r w:rsidR="00645E85" w:rsidRPr="00F1121E">
              <w:rPr>
                <w:rFonts w:asciiTheme="majorHAnsi" w:eastAsia="Century Gothic" w:hAnsiTheme="majorHAnsi" w:cs="Century Gothic"/>
                <w:lang w:val="es-US"/>
              </w:rPr>
              <w:t>.</w:t>
            </w:r>
          </w:p>
          <w:p w14:paraId="5D15A909" w14:textId="77777777" w:rsidR="00073A0E" w:rsidRPr="00F1121E" w:rsidRDefault="00073A0E">
            <w:pPr>
              <w:rPr>
                <w:rFonts w:asciiTheme="majorHAnsi" w:eastAsia="Century Gothic" w:hAnsiTheme="majorHAnsi" w:cs="Century Gothic"/>
                <w:lang w:val="es-US"/>
              </w:rPr>
            </w:pPr>
          </w:p>
        </w:tc>
        <w:tc>
          <w:tcPr>
            <w:tcW w:w="4595" w:type="dxa"/>
          </w:tcPr>
          <w:p w14:paraId="1759CB86" w14:textId="77777777" w:rsidR="00073A0E" w:rsidRDefault="00073A0E">
            <w:pPr>
              <w:rPr>
                <w:rFonts w:asciiTheme="majorHAnsi" w:hAnsiTheme="majorHAnsi"/>
                <w:lang w:val="es-US"/>
              </w:rPr>
            </w:pPr>
          </w:p>
          <w:p w14:paraId="2302B299" w14:textId="77777777" w:rsidR="005005BF" w:rsidRPr="005005BF" w:rsidRDefault="005005BF" w:rsidP="005005BF">
            <w:pPr>
              <w:jc w:val="right"/>
              <w:rPr>
                <w:rFonts w:asciiTheme="majorHAnsi" w:hAnsiTheme="majorHAnsi"/>
                <w:lang w:val="es-US"/>
              </w:rPr>
            </w:pPr>
          </w:p>
        </w:tc>
      </w:tr>
      <w:tr w:rsidR="00073A0E" w:rsidRPr="00FB124B" w14:paraId="2A05260A" w14:textId="77777777" w:rsidTr="00F1121E">
        <w:tc>
          <w:tcPr>
            <w:tcW w:w="4765" w:type="dxa"/>
          </w:tcPr>
          <w:p w14:paraId="0C4B4F25" w14:textId="31D9BEB9" w:rsidR="00073A0E" w:rsidRPr="00F1121E" w:rsidRDefault="00FB124B">
            <w:pPr>
              <w:rPr>
                <w:rFonts w:asciiTheme="majorHAnsi" w:eastAsia="Century Gothic" w:hAnsiTheme="majorHAnsi" w:cs="Century Gothic"/>
                <w:lang w:val="es-US"/>
              </w:rPr>
            </w:pPr>
            <w:r w:rsidRPr="00F1121E">
              <w:rPr>
                <w:rFonts w:asciiTheme="majorHAnsi" w:eastAsia="Century Gothic" w:hAnsiTheme="majorHAnsi" w:cs="Century Gothic"/>
                <w:lang w:val="es-US"/>
              </w:rPr>
              <w:t>TODAS las actividades y recursos durante la sesión están claramente conectados con los objetivos de la sesión</w:t>
            </w:r>
            <w:r w:rsidR="00645E85" w:rsidRPr="00F1121E">
              <w:rPr>
                <w:rFonts w:asciiTheme="majorHAnsi" w:eastAsia="Century Gothic" w:hAnsiTheme="majorHAnsi" w:cs="Century Gothic"/>
                <w:lang w:val="es-US"/>
              </w:rPr>
              <w:t>.</w:t>
            </w:r>
          </w:p>
          <w:p w14:paraId="402808C5" w14:textId="77777777" w:rsidR="00073A0E" w:rsidRPr="00F1121E" w:rsidRDefault="00073A0E">
            <w:pPr>
              <w:rPr>
                <w:rFonts w:asciiTheme="majorHAnsi" w:eastAsia="Century Gothic" w:hAnsiTheme="majorHAnsi" w:cs="Century Gothic"/>
                <w:lang w:val="es-US"/>
              </w:rPr>
            </w:pPr>
          </w:p>
        </w:tc>
        <w:tc>
          <w:tcPr>
            <w:tcW w:w="4595" w:type="dxa"/>
          </w:tcPr>
          <w:p w14:paraId="5AE54E99" w14:textId="77777777" w:rsidR="00073A0E" w:rsidRPr="00FB124B" w:rsidRDefault="00073A0E">
            <w:pPr>
              <w:rPr>
                <w:rFonts w:asciiTheme="majorHAnsi" w:hAnsiTheme="majorHAnsi"/>
                <w:lang w:val="es-US"/>
              </w:rPr>
            </w:pPr>
          </w:p>
        </w:tc>
      </w:tr>
      <w:tr w:rsidR="00073A0E" w:rsidRPr="00FB124B" w14:paraId="7B18874D" w14:textId="77777777" w:rsidTr="00F1121E">
        <w:tc>
          <w:tcPr>
            <w:tcW w:w="4765" w:type="dxa"/>
          </w:tcPr>
          <w:p w14:paraId="22911B09" w14:textId="10A5CA71" w:rsidR="00073A0E" w:rsidRPr="00F1121E" w:rsidRDefault="00FB124B">
            <w:pPr>
              <w:rPr>
                <w:rFonts w:asciiTheme="majorHAnsi" w:eastAsia="Century Gothic" w:hAnsiTheme="majorHAnsi" w:cs="Century Gothic"/>
                <w:lang w:val="es-US"/>
              </w:rPr>
            </w:pPr>
            <w:r w:rsidRPr="00F1121E">
              <w:rPr>
                <w:rFonts w:asciiTheme="majorHAnsi" w:eastAsia="Century Gothic" w:hAnsiTheme="majorHAnsi" w:cs="Century Gothic"/>
                <w:lang w:val="es-US"/>
              </w:rPr>
              <w:t>El presentador proporciona evidencia de que las prácticas destacadas/demostradas dentro de la sesión son efectivas. Se proporcionan datos cuando corresponde</w:t>
            </w:r>
            <w:r w:rsidR="00645E85" w:rsidRPr="00F1121E">
              <w:rPr>
                <w:rFonts w:asciiTheme="majorHAnsi" w:eastAsia="Century Gothic" w:hAnsiTheme="majorHAnsi" w:cs="Century Gothic"/>
                <w:lang w:val="es-US"/>
              </w:rPr>
              <w:t>.</w:t>
            </w:r>
          </w:p>
          <w:p w14:paraId="33C6F419" w14:textId="77777777" w:rsidR="00073A0E" w:rsidRPr="00F1121E" w:rsidRDefault="00073A0E">
            <w:pPr>
              <w:rPr>
                <w:rFonts w:asciiTheme="majorHAnsi" w:eastAsia="Century Gothic" w:hAnsiTheme="majorHAnsi" w:cs="Century Gothic"/>
                <w:lang w:val="es-US"/>
              </w:rPr>
            </w:pPr>
          </w:p>
        </w:tc>
        <w:tc>
          <w:tcPr>
            <w:tcW w:w="4595" w:type="dxa"/>
          </w:tcPr>
          <w:p w14:paraId="728F3606" w14:textId="77777777" w:rsidR="00073A0E" w:rsidRPr="00FB124B" w:rsidRDefault="00073A0E">
            <w:pPr>
              <w:rPr>
                <w:rFonts w:asciiTheme="majorHAnsi" w:hAnsiTheme="majorHAnsi"/>
                <w:lang w:val="es-US"/>
              </w:rPr>
            </w:pPr>
          </w:p>
        </w:tc>
      </w:tr>
      <w:tr w:rsidR="00073A0E" w:rsidRPr="00FB124B" w14:paraId="770A4D25" w14:textId="77777777" w:rsidTr="00F1121E">
        <w:tc>
          <w:tcPr>
            <w:tcW w:w="4765" w:type="dxa"/>
          </w:tcPr>
          <w:p w14:paraId="770B9060" w14:textId="449644EB" w:rsidR="00073A0E" w:rsidRPr="00FB124B" w:rsidRDefault="00FB124B">
            <w:pPr>
              <w:rPr>
                <w:rFonts w:asciiTheme="majorHAnsi" w:eastAsia="Century Gothic" w:hAnsiTheme="majorHAnsi" w:cs="Century Gothic"/>
                <w:sz w:val="20"/>
                <w:szCs w:val="20"/>
                <w:lang w:val="es-US"/>
              </w:rPr>
            </w:pPr>
            <w:r w:rsidRPr="00FB124B">
              <w:rPr>
                <w:rFonts w:asciiTheme="majorHAnsi" w:eastAsia="Century Gothic" w:hAnsiTheme="majorHAnsi" w:cs="Century Gothic"/>
                <w:b/>
                <w:sz w:val="28"/>
                <w:szCs w:val="28"/>
                <w:lang w:val="es-US"/>
              </w:rPr>
              <w:t>Interacción de los participantes y tiempo de procesamiento</w:t>
            </w:r>
            <w:r w:rsidR="00645E85" w:rsidRPr="00FB124B">
              <w:rPr>
                <w:rFonts w:asciiTheme="majorHAnsi" w:eastAsia="Century Gothic" w:hAnsiTheme="majorHAnsi" w:cs="Century Gothic"/>
                <w:b/>
                <w:sz w:val="28"/>
                <w:szCs w:val="28"/>
                <w:lang w:val="es-US"/>
              </w:rPr>
              <w:t xml:space="preserve"> </w:t>
            </w:r>
          </w:p>
        </w:tc>
        <w:tc>
          <w:tcPr>
            <w:tcW w:w="4595" w:type="dxa"/>
          </w:tcPr>
          <w:p w14:paraId="11AEB960" w14:textId="248E16CD" w:rsidR="00073A0E" w:rsidRPr="00FB124B" w:rsidRDefault="00645E85">
            <w:pPr>
              <w:rPr>
                <w:rFonts w:asciiTheme="majorHAnsi" w:eastAsia="Century Gothic" w:hAnsiTheme="majorHAnsi" w:cs="Century Gothic"/>
                <w:b/>
                <w:sz w:val="28"/>
                <w:szCs w:val="28"/>
                <w:lang w:val="es-US"/>
              </w:rPr>
            </w:pPr>
            <w:r w:rsidRPr="00FB124B">
              <w:rPr>
                <w:rFonts w:asciiTheme="majorHAnsi" w:eastAsia="Century Gothic" w:hAnsiTheme="majorHAnsi" w:cs="Century Gothic"/>
                <w:b/>
                <w:sz w:val="28"/>
                <w:szCs w:val="28"/>
                <w:lang w:val="es-US"/>
              </w:rPr>
              <w:t>Not</w:t>
            </w:r>
            <w:r w:rsidR="00FB124B" w:rsidRPr="00FB124B">
              <w:rPr>
                <w:rFonts w:asciiTheme="majorHAnsi" w:eastAsia="Century Gothic" w:hAnsiTheme="majorHAnsi" w:cs="Century Gothic"/>
                <w:b/>
                <w:sz w:val="28"/>
                <w:szCs w:val="28"/>
                <w:lang w:val="es-US"/>
              </w:rPr>
              <w:t>a</w:t>
            </w:r>
            <w:r w:rsidRPr="00FB124B">
              <w:rPr>
                <w:rFonts w:asciiTheme="majorHAnsi" w:eastAsia="Century Gothic" w:hAnsiTheme="majorHAnsi" w:cs="Century Gothic"/>
                <w:b/>
                <w:sz w:val="28"/>
                <w:szCs w:val="28"/>
                <w:lang w:val="es-US"/>
              </w:rPr>
              <w:t>s</w:t>
            </w:r>
          </w:p>
        </w:tc>
      </w:tr>
      <w:tr w:rsidR="00073A0E" w:rsidRPr="00FB124B" w14:paraId="569A48F7" w14:textId="77777777" w:rsidTr="00F1121E">
        <w:tc>
          <w:tcPr>
            <w:tcW w:w="4765" w:type="dxa"/>
          </w:tcPr>
          <w:p w14:paraId="613E8A43" w14:textId="7EEC1E6A" w:rsidR="00073A0E" w:rsidRPr="00F1121E" w:rsidRDefault="00FB124B">
            <w:pPr>
              <w:rPr>
                <w:rFonts w:asciiTheme="majorHAnsi" w:eastAsia="Century Gothic" w:hAnsiTheme="majorHAnsi" w:cs="Century Gothic"/>
                <w:lang w:val="es-US"/>
              </w:rPr>
            </w:pPr>
            <w:r w:rsidRPr="00F1121E">
              <w:rPr>
                <w:rFonts w:asciiTheme="majorHAnsi" w:eastAsia="Century Gothic" w:hAnsiTheme="majorHAnsi" w:cs="Century Gothic"/>
                <w:lang w:val="es-US"/>
              </w:rPr>
              <w:t>La presentación es &lt;30% de conferencia/didáctica. Los participantes deben hablar, moverse, escribir, reflexionar o interactuar con otros durante el 70% o más de la sesión</w:t>
            </w:r>
            <w:r w:rsidR="00645E85" w:rsidRPr="00F1121E">
              <w:rPr>
                <w:rFonts w:asciiTheme="majorHAnsi" w:eastAsia="Century Gothic" w:hAnsiTheme="majorHAnsi" w:cs="Century Gothic"/>
                <w:lang w:val="es-US"/>
              </w:rPr>
              <w:t xml:space="preserve">.  </w:t>
            </w:r>
          </w:p>
        </w:tc>
        <w:tc>
          <w:tcPr>
            <w:tcW w:w="4595" w:type="dxa"/>
          </w:tcPr>
          <w:p w14:paraId="374B1611" w14:textId="77777777" w:rsidR="00073A0E" w:rsidRPr="00FB124B" w:rsidRDefault="00073A0E">
            <w:pPr>
              <w:rPr>
                <w:rFonts w:asciiTheme="majorHAnsi" w:hAnsiTheme="majorHAnsi"/>
                <w:lang w:val="es-US"/>
              </w:rPr>
            </w:pPr>
          </w:p>
        </w:tc>
      </w:tr>
      <w:tr w:rsidR="00073A0E" w:rsidRPr="00FB124B" w14:paraId="1E03367B" w14:textId="77777777" w:rsidTr="00F1121E">
        <w:tc>
          <w:tcPr>
            <w:tcW w:w="4765" w:type="dxa"/>
          </w:tcPr>
          <w:p w14:paraId="77EE0DCF" w14:textId="42912EF0" w:rsidR="00073A0E" w:rsidRPr="00F1121E" w:rsidRDefault="00FB124B">
            <w:pPr>
              <w:rPr>
                <w:rFonts w:asciiTheme="majorHAnsi" w:eastAsia="Century Gothic" w:hAnsiTheme="majorHAnsi" w:cs="Century Gothic"/>
                <w:lang w:val="es-US"/>
              </w:rPr>
            </w:pPr>
            <w:r w:rsidRPr="00F1121E">
              <w:rPr>
                <w:rFonts w:asciiTheme="majorHAnsi" w:eastAsia="Century Gothic" w:hAnsiTheme="majorHAnsi" w:cs="Century Gothic"/>
                <w:lang w:val="es-US"/>
              </w:rPr>
              <w:t>El tiempo asignado para cada actividad es suficiente; es probable que no sea necesario apresurarse ni omitir nada</w:t>
            </w:r>
            <w:r w:rsidR="00645E85" w:rsidRPr="00F1121E">
              <w:rPr>
                <w:rFonts w:asciiTheme="majorHAnsi" w:eastAsia="Century Gothic" w:hAnsiTheme="majorHAnsi" w:cs="Century Gothic"/>
                <w:lang w:val="es-US"/>
              </w:rPr>
              <w:t>.</w:t>
            </w:r>
          </w:p>
        </w:tc>
        <w:tc>
          <w:tcPr>
            <w:tcW w:w="4595" w:type="dxa"/>
          </w:tcPr>
          <w:p w14:paraId="0294B57D" w14:textId="77777777" w:rsidR="00073A0E" w:rsidRPr="00FB124B" w:rsidRDefault="00073A0E">
            <w:pPr>
              <w:rPr>
                <w:rFonts w:asciiTheme="majorHAnsi" w:hAnsiTheme="majorHAnsi"/>
                <w:lang w:val="es-US"/>
              </w:rPr>
            </w:pPr>
          </w:p>
        </w:tc>
      </w:tr>
      <w:tr w:rsidR="00073A0E" w:rsidRPr="00FB124B" w14:paraId="2B6D8D2D" w14:textId="77777777" w:rsidTr="00F1121E">
        <w:tc>
          <w:tcPr>
            <w:tcW w:w="4765" w:type="dxa"/>
          </w:tcPr>
          <w:p w14:paraId="7C4DDDC1" w14:textId="01C505D8" w:rsidR="00F1121E" w:rsidRPr="00F1121E" w:rsidRDefault="00FB124B">
            <w:pPr>
              <w:rPr>
                <w:rFonts w:asciiTheme="majorHAnsi" w:eastAsia="Century Gothic" w:hAnsiTheme="majorHAnsi" w:cs="Century Gothic"/>
                <w:lang w:val="es-US"/>
              </w:rPr>
            </w:pPr>
            <w:r w:rsidRPr="00F1121E">
              <w:rPr>
                <w:rFonts w:asciiTheme="majorHAnsi" w:eastAsia="Century Gothic" w:hAnsiTheme="majorHAnsi" w:cs="Century Gothic"/>
                <w:lang w:val="es-US"/>
              </w:rPr>
              <w:t>La sesión se divide apropiadamente con tiempo de procesamiento: cada pieza de nueva información se sigue con una estructura para ayudar a los participantes a procesar y aplicar lo compartido</w:t>
            </w:r>
            <w:r w:rsidR="00645E85" w:rsidRPr="00F1121E">
              <w:rPr>
                <w:rFonts w:asciiTheme="majorHAnsi" w:eastAsia="Century Gothic" w:hAnsiTheme="majorHAnsi" w:cs="Century Gothic"/>
                <w:lang w:val="es-US"/>
              </w:rPr>
              <w:t>.</w:t>
            </w:r>
          </w:p>
        </w:tc>
        <w:tc>
          <w:tcPr>
            <w:tcW w:w="4595" w:type="dxa"/>
          </w:tcPr>
          <w:p w14:paraId="52413A7C" w14:textId="77777777" w:rsidR="00073A0E" w:rsidRPr="00FB124B" w:rsidRDefault="00073A0E">
            <w:pPr>
              <w:rPr>
                <w:rFonts w:asciiTheme="majorHAnsi" w:hAnsiTheme="majorHAnsi"/>
                <w:lang w:val="es-US"/>
              </w:rPr>
            </w:pPr>
          </w:p>
        </w:tc>
      </w:tr>
      <w:tr w:rsidR="00073A0E" w:rsidRPr="00FB124B" w14:paraId="37FE794A" w14:textId="77777777" w:rsidTr="00F1121E">
        <w:tc>
          <w:tcPr>
            <w:tcW w:w="4765" w:type="dxa"/>
          </w:tcPr>
          <w:p w14:paraId="24CDC0EE" w14:textId="38256A72" w:rsidR="00073A0E" w:rsidRPr="00FB124B" w:rsidRDefault="00FB124B">
            <w:pPr>
              <w:rPr>
                <w:rFonts w:asciiTheme="majorHAnsi" w:eastAsia="Century Gothic" w:hAnsiTheme="majorHAnsi" w:cs="Century Gothic"/>
                <w:sz w:val="20"/>
                <w:szCs w:val="20"/>
                <w:lang w:val="es-US"/>
              </w:rPr>
            </w:pPr>
            <w:r w:rsidRPr="00FB124B">
              <w:rPr>
                <w:rFonts w:asciiTheme="majorHAnsi" w:eastAsia="Century Gothic" w:hAnsiTheme="majorHAnsi" w:cs="Century Gothic"/>
                <w:b/>
                <w:sz w:val="28"/>
                <w:szCs w:val="28"/>
                <w:lang w:val="es-US"/>
              </w:rPr>
              <w:lastRenderedPageBreak/>
              <w:t>Orientación a la acción</w:t>
            </w:r>
          </w:p>
        </w:tc>
        <w:tc>
          <w:tcPr>
            <w:tcW w:w="4595" w:type="dxa"/>
          </w:tcPr>
          <w:p w14:paraId="046F2C2D" w14:textId="27EF0867" w:rsidR="00073A0E" w:rsidRPr="00FB124B" w:rsidRDefault="00645E85">
            <w:pPr>
              <w:rPr>
                <w:rFonts w:asciiTheme="majorHAnsi" w:eastAsia="Century Gothic" w:hAnsiTheme="majorHAnsi" w:cs="Century Gothic"/>
                <w:b/>
                <w:sz w:val="28"/>
                <w:szCs w:val="28"/>
                <w:lang w:val="es-US"/>
              </w:rPr>
            </w:pPr>
            <w:r w:rsidRPr="00FB124B">
              <w:rPr>
                <w:rFonts w:asciiTheme="majorHAnsi" w:eastAsia="Century Gothic" w:hAnsiTheme="majorHAnsi" w:cs="Century Gothic"/>
                <w:b/>
                <w:sz w:val="28"/>
                <w:szCs w:val="28"/>
                <w:lang w:val="es-US"/>
              </w:rPr>
              <w:t>Not</w:t>
            </w:r>
            <w:r w:rsidR="00FB124B" w:rsidRPr="00FB124B">
              <w:rPr>
                <w:rFonts w:asciiTheme="majorHAnsi" w:eastAsia="Century Gothic" w:hAnsiTheme="majorHAnsi" w:cs="Century Gothic"/>
                <w:b/>
                <w:sz w:val="28"/>
                <w:szCs w:val="28"/>
                <w:lang w:val="es-US"/>
              </w:rPr>
              <w:t>a</w:t>
            </w:r>
            <w:r w:rsidRPr="00FB124B">
              <w:rPr>
                <w:rFonts w:asciiTheme="majorHAnsi" w:eastAsia="Century Gothic" w:hAnsiTheme="majorHAnsi" w:cs="Century Gothic"/>
                <w:b/>
                <w:sz w:val="28"/>
                <w:szCs w:val="28"/>
                <w:lang w:val="es-US"/>
              </w:rPr>
              <w:t>s</w:t>
            </w:r>
          </w:p>
        </w:tc>
      </w:tr>
      <w:tr w:rsidR="00073A0E" w:rsidRPr="00FB124B" w14:paraId="157727BF" w14:textId="77777777" w:rsidTr="00F1121E">
        <w:tc>
          <w:tcPr>
            <w:tcW w:w="4765" w:type="dxa"/>
          </w:tcPr>
          <w:p w14:paraId="387FD58A" w14:textId="1878121D" w:rsidR="00073A0E" w:rsidRPr="00F1121E" w:rsidRDefault="00FB124B">
            <w:pPr>
              <w:rPr>
                <w:rFonts w:asciiTheme="majorHAnsi" w:eastAsia="Century Gothic" w:hAnsiTheme="majorHAnsi" w:cs="Century Gothic"/>
                <w:lang w:val="es-US"/>
              </w:rPr>
            </w:pPr>
            <w:r w:rsidRPr="00F1121E">
              <w:rPr>
                <w:rFonts w:asciiTheme="majorHAnsi" w:eastAsia="Century Gothic" w:hAnsiTheme="majorHAnsi" w:cs="Century Gothic"/>
                <w:lang w:val="es-US"/>
              </w:rPr>
              <w:t>Al menos 10 minutos de la sesión se dedican a que los participantes planifiquen/redacten/discutan cómo aplicarán el nuevo aprendizaje en su entorno y rol</w:t>
            </w:r>
            <w:r w:rsidR="00645E85" w:rsidRPr="00F1121E">
              <w:rPr>
                <w:rFonts w:asciiTheme="majorHAnsi" w:eastAsia="Century Gothic" w:hAnsiTheme="majorHAnsi" w:cs="Century Gothic"/>
                <w:lang w:val="es-US"/>
              </w:rPr>
              <w:t>.</w:t>
            </w:r>
          </w:p>
        </w:tc>
        <w:tc>
          <w:tcPr>
            <w:tcW w:w="4595" w:type="dxa"/>
          </w:tcPr>
          <w:p w14:paraId="1B2FD7D1" w14:textId="77777777" w:rsidR="00073A0E" w:rsidRPr="00FB124B" w:rsidRDefault="00073A0E">
            <w:pPr>
              <w:rPr>
                <w:rFonts w:asciiTheme="majorHAnsi" w:hAnsiTheme="majorHAnsi"/>
                <w:lang w:val="es-US"/>
              </w:rPr>
            </w:pPr>
          </w:p>
        </w:tc>
      </w:tr>
      <w:tr w:rsidR="00073A0E" w:rsidRPr="00FB124B" w14:paraId="1EED097C" w14:textId="77777777" w:rsidTr="00F1121E">
        <w:tc>
          <w:tcPr>
            <w:tcW w:w="4765" w:type="dxa"/>
          </w:tcPr>
          <w:p w14:paraId="173C946B" w14:textId="72DAC4E2" w:rsidR="00073A0E" w:rsidRPr="00F1121E" w:rsidRDefault="00FB124B">
            <w:pPr>
              <w:rPr>
                <w:rFonts w:asciiTheme="majorHAnsi" w:eastAsia="Century Gothic" w:hAnsiTheme="majorHAnsi" w:cs="Century Gothic"/>
                <w:lang w:val="es-US"/>
              </w:rPr>
            </w:pPr>
            <w:r w:rsidRPr="00F1121E">
              <w:rPr>
                <w:rFonts w:asciiTheme="majorHAnsi" w:eastAsia="Century Gothic" w:hAnsiTheme="majorHAnsi" w:cs="Century Gothic"/>
                <w:lang w:val="es-US"/>
              </w:rPr>
              <w:t>Los presentadores han considerado cómo diferenciar las actividades de aplicación para diferentes tipos de participantes (personal del distrito, personal de la escuela, administradores, maestros, personal de apoyo, escuelas secundarias, primarias, etc.)</w:t>
            </w:r>
            <w:r w:rsidR="00645E85" w:rsidRPr="00F1121E">
              <w:rPr>
                <w:rFonts w:asciiTheme="majorHAnsi" w:eastAsia="Century Gothic" w:hAnsiTheme="majorHAnsi" w:cs="Century Gothic"/>
                <w:lang w:val="es-US"/>
              </w:rPr>
              <w:t xml:space="preserve">.  </w:t>
            </w:r>
          </w:p>
        </w:tc>
        <w:tc>
          <w:tcPr>
            <w:tcW w:w="4595" w:type="dxa"/>
          </w:tcPr>
          <w:p w14:paraId="0A169209" w14:textId="77777777" w:rsidR="00073A0E" w:rsidRPr="00FB124B" w:rsidRDefault="00073A0E">
            <w:pPr>
              <w:rPr>
                <w:rFonts w:asciiTheme="majorHAnsi" w:hAnsiTheme="majorHAnsi"/>
                <w:lang w:val="es-US"/>
              </w:rPr>
            </w:pPr>
          </w:p>
        </w:tc>
      </w:tr>
      <w:tr w:rsidR="00073A0E" w:rsidRPr="00FB124B" w14:paraId="163D7172" w14:textId="77777777" w:rsidTr="00F1121E">
        <w:tc>
          <w:tcPr>
            <w:tcW w:w="4765" w:type="dxa"/>
          </w:tcPr>
          <w:p w14:paraId="0691A5F4" w14:textId="4D62DA7F" w:rsidR="00073A0E" w:rsidRPr="00F1121E" w:rsidRDefault="00FB124B">
            <w:pPr>
              <w:rPr>
                <w:rFonts w:asciiTheme="majorHAnsi" w:eastAsia="Century Gothic" w:hAnsiTheme="majorHAnsi" w:cs="Century Gothic"/>
                <w:lang w:val="es-US"/>
              </w:rPr>
            </w:pPr>
            <w:r w:rsidRPr="00F1121E">
              <w:rPr>
                <w:rFonts w:asciiTheme="majorHAnsi" w:eastAsia="Century Gothic" w:hAnsiTheme="majorHAnsi" w:cs="Century Gothic"/>
                <w:lang w:val="es-US"/>
              </w:rPr>
              <w:t>Todos los participantes se irán con un plan de implementación o un paso de acción</w:t>
            </w:r>
            <w:r w:rsidR="00645E85" w:rsidRPr="00F1121E">
              <w:rPr>
                <w:rFonts w:asciiTheme="majorHAnsi" w:eastAsia="Century Gothic" w:hAnsiTheme="majorHAnsi" w:cs="Century Gothic"/>
                <w:lang w:val="es-US"/>
              </w:rPr>
              <w:t>.</w:t>
            </w:r>
          </w:p>
        </w:tc>
        <w:tc>
          <w:tcPr>
            <w:tcW w:w="4595" w:type="dxa"/>
          </w:tcPr>
          <w:p w14:paraId="1C983532" w14:textId="77777777" w:rsidR="00073A0E" w:rsidRPr="00FB124B" w:rsidRDefault="00073A0E">
            <w:pPr>
              <w:rPr>
                <w:rFonts w:asciiTheme="majorHAnsi" w:hAnsiTheme="majorHAnsi"/>
                <w:lang w:val="es-US"/>
              </w:rPr>
            </w:pPr>
          </w:p>
        </w:tc>
      </w:tr>
      <w:tr w:rsidR="00073A0E" w:rsidRPr="00FB124B" w14:paraId="3F57958F" w14:textId="77777777" w:rsidTr="00F1121E">
        <w:tc>
          <w:tcPr>
            <w:tcW w:w="4765" w:type="dxa"/>
          </w:tcPr>
          <w:p w14:paraId="4E35D152" w14:textId="2FE7C29E" w:rsidR="00073A0E" w:rsidRPr="00FB124B" w:rsidRDefault="00FB124B">
            <w:pPr>
              <w:rPr>
                <w:rFonts w:asciiTheme="majorHAnsi" w:eastAsia="Century Gothic" w:hAnsiTheme="majorHAnsi" w:cs="Century Gothic"/>
                <w:sz w:val="20"/>
                <w:szCs w:val="20"/>
                <w:lang w:val="es-US"/>
              </w:rPr>
            </w:pPr>
            <w:r w:rsidRPr="00FB124B">
              <w:rPr>
                <w:rFonts w:asciiTheme="majorHAnsi" w:eastAsia="Century Gothic" w:hAnsiTheme="majorHAnsi" w:cs="Century Gothic"/>
                <w:b/>
                <w:sz w:val="28"/>
                <w:szCs w:val="28"/>
                <w:lang w:val="es-US"/>
              </w:rPr>
              <w:t>Calidad de los recursos</w:t>
            </w:r>
          </w:p>
        </w:tc>
        <w:tc>
          <w:tcPr>
            <w:tcW w:w="4595" w:type="dxa"/>
          </w:tcPr>
          <w:p w14:paraId="01AC0565" w14:textId="15320A31" w:rsidR="00073A0E" w:rsidRPr="00FB124B" w:rsidRDefault="00645E85">
            <w:pPr>
              <w:rPr>
                <w:rFonts w:asciiTheme="majorHAnsi" w:eastAsia="Century Gothic" w:hAnsiTheme="majorHAnsi" w:cs="Century Gothic"/>
                <w:b/>
                <w:sz w:val="28"/>
                <w:szCs w:val="28"/>
                <w:lang w:val="es-US"/>
              </w:rPr>
            </w:pPr>
            <w:r w:rsidRPr="00FB124B">
              <w:rPr>
                <w:rFonts w:asciiTheme="majorHAnsi" w:eastAsia="Century Gothic" w:hAnsiTheme="majorHAnsi" w:cs="Century Gothic"/>
                <w:b/>
                <w:sz w:val="28"/>
                <w:szCs w:val="28"/>
                <w:lang w:val="es-US"/>
              </w:rPr>
              <w:t>Not</w:t>
            </w:r>
            <w:r w:rsidR="00FB124B" w:rsidRPr="00FB124B">
              <w:rPr>
                <w:rFonts w:asciiTheme="majorHAnsi" w:eastAsia="Century Gothic" w:hAnsiTheme="majorHAnsi" w:cs="Century Gothic"/>
                <w:b/>
                <w:sz w:val="28"/>
                <w:szCs w:val="28"/>
                <w:lang w:val="es-US"/>
              </w:rPr>
              <w:t>a</w:t>
            </w:r>
            <w:r w:rsidRPr="00FB124B">
              <w:rPr>
                <w:rFonts w:asciiTheme="majorHAnsi" w:eastAsia="Century Gothic" w:hAnsiTheme="majorHAnsi" w:cs="Century Gothic"/>
                <w:b/>
                <w:sz w:val="28"/>
                <w:szCs w:val="28"/>
                <w:lang w:val="es-US"/>
              </w:rPr>
              <w:t>s</w:t>
            </w:r>
          </w:p>
        </w:tc>
      </w:tr>
      <w:tr w:rsidR="00073A0E" w:rsidRPr="00FB124B" w14:paraId="5652F016" w14:textId="77777777" w:rsidTr="00F1121E">
        <w:tc>
          <w:tcPr>
            <w:tcW w:w="4765" w:type="dxa"/>
          </w:tcPr>
          <w:p w14:paraId="1E116CB0" w14:textId="76C7453C" w:rsidR="00073A0E" w:rsidRPr="00F1121E" w:rsidRDefault="00FB124B">
            <w:pPr>
              <w:rPr>
                <w:rFonts w:asciiTheme="majorHAnsi" w:eastAsia="Century Gothic" w:hAnsiTheme="majorHAnsi" w:cs="Century Gothic"/>
                <w:lang w:val="es-US"/>
              </w:rPr>
            </w:pPr>
            <w:bookmarkStart w:id="0" w:name="_b3xp3z876vd" w:colFirst="0" w:colLast="0"/>
            <w:bookmarkEnd w:id="0"/>
            <w:r w:rsidRPr="00F1121E">
              <w:rPr>
                <w:rFonts w:asciiTheme="majorHAnsi" w:eastAsia="Century Gothic" w:hAnsiTheme="majorHAnsi" w:cs="Century Gothic"/>
                <w:lang w:val="es-US"/>
              </w:rPr>
              <w:t>El texto de las diapositivas se puede leer fácilmente desde la distancia, las diapositivas no tienen demasiado texto y el texto no está destinado a leerse en voz alta</w:t>
            </w:r>
            <w:r w:rsidR="00645E85" w:rsidRPr="00F1121E">
              <w:rPr>
                <w:rFonts w:asciiTheme="majorHAnsi" w:eastAsia="Century Gothic" w:hAnsiTheme="majorHAnsi" w:cs="Century Gothic"/>
                <w:lang w:val="es-US"/>
              </w:rPr>
              <w:t>.</w:t>
            </w:r>
          </w:p>
        </w:tc>
        <w:tc>
          <w:tcPr>
            <w:tcW w:w="4595" w:type="dxa"/>
          </w:tcPr>
          <w:p w14:paraId="1D836F56" w14:textId="77777777" w:rsidR="00073A0E" w:rsidRPr="00FB124B" w:rsidRDefault="00073A0E">
            <w:pPr>
              <w:rPr>
                <w:rFonts w:asciiTheme="majorHAnsi" w:hAnsiTheme="majorHAnsi"/>
                <w:lang w:val="es-US"/>
              </w:rPr>
            </w:pPr>
          </w:p>
        </w:tc>
      </w:tr>
      <w:tr w:rsidR="00073A0E" w:rsidRPr="00FB124B" w14:paraId="27622D6E" w14:textId="77777777" w:rsidTr="00F1121E">
        <w:tc>
          <w:tcPr>
            <w:tcW w:w="4765" w:type="dxa"/>
          </w:tcPr>
          <w:p w14:paraId="46D15E86" w14:textId="2AD32F7E" w:rsidR="00073A0E" w:rsidRPr="00F1121E" w:rsidRDefault="00FB124B">
            <w:pPr>
              <w:rPr>
                <w:rFonts w:asciiTheme="majorHAnsi" w:eastAsia="Century Gothic" w:hAnsiTheme="majorHAnsi" w:cs="Century Gothic"/>
                <w:lang w:val="es-US"/>
              </w:rPr>
            </w:pPr>
            <w:r w:rsidRPr="00F1121E">
              <w:rPr>
                <w:rFonts w:asciiTheme="majorHAnsi" w:eastAsia="Century Gothic" w:hAnsiTheme="majorHAnsi" w:cs="Century Gothic"/>
                <w:lang w:val="es-US"/>
              </w:rPr>
              <w:t>Se incluyen notas de presentación dentro de las diapositivas para que un participante que no pudo asistir a la sesión pueda utilizar este recurso como resumen</w:t>
            </w:r>
            <w:r w:rsidR="00645E85" w:rsidRPr="00F1121E">
              <w:rPr>
                <w:rFonts w:asciiTheme="majorHAnsi" w:eastAsia="Century Gothic" w:hAnsiTheme="majorHAnsi" w:cs="Century Gothic"/>
                <w:lang w:val="es-US"/>
              </w:rPr>
              <w:t>.</w:t>
            </w:r>
          </w:p>
        </w:tc>
        <w:tc>
          <w:tcPr>
            <w:tcW w:w="4595" w:type="dxa"/>
          </w:tcPr>
          <w:p w14:paraId="69240F0C" w14:textId="77777777" w:rsidR="00073A0E" w:rsidRPr="00FB124B" w:rsidRDefault="00073A0E">
            <w:pPr>
              <w:rPr>
                <w:rFonts w:asciiTheme="majorHAnsi" w:hAnsiTheme="majorHAnsi"/>
                <w:lang w:val="es-US"/>
              </w:rPr>
            </w:pPr>
          </w:p>
        </w:tc>
      </w:tr>
      <w:tr w:rsidR="00073A0E" w:rsidRPr="00FB124B" w14:paraId="624D286B" w14:textId="77777777" w:rsidTr="00F1121E">
        <w:tc>
          <w:tcPr>
            <w:tcW w:w="4765" w:type="dxa"/>
          </w:tcPr>
          <w:p w14:paraId="7C75A847" w14:textId="257B7F8F" w:rsidR="00073A0E" w:rsidRPr="00F1121E" w:rsidRDefault="00FB124B">
            <w:pPr>
              <w:rPr>
                <w:rFonts w:asciiTheme="majorHAnsi" w:eastAsia="Century Gothic" w:hAnsiTheme="majorHAnsi" w:cs="Century Gothic"/>
                <w:lang w:val="es-US"/>
              </w:rPr>
            </w:pPr>
            <w:r w:rsidRPr="00F1121E">
              <w:rPr>
                <w:rFonts w:asciiTheme="majorHAnsi" w:eastAsia="Century Gothic" w:hAnsiTheme="majorHAnsi" w:cs="Century Gothic"/>
                <w:lang w:val="es-US"/>
              </w:rPr>
              <w:t>Se proporcionan documentos clave electrónicamente a los participantes y se proporcionan enlaces de video cuando sea posible</w:t>
            </w:r>
            <w:r w:rsidR="00645E85" w:rsidRPr="00F1121E">
              <w:rPr>
                <w:rFonts w:asciiTheme="majorHAnsi" w:eastAsia="Century Gothic" w:hAnsiTheme="majorHAnsi" w:cs="Century Gothic"/>
                <w:lang w:val="es-US"/>
              </w:rPr>
              <w:t>.</w:t>
            </w:r>
          </w:p>
        </w:tc>
        <w:tc>
          <w:tcPr>
            <w:tcW w:w="4595" w:type="dxa"/>
          </w:tcPr>
          <w:p w14:paraId="48C5AB65" w14:textId="77777777" w:rsidR="00073A0E" w:rsidRPr="00FB124B" w:rsidRDefault="00073A0E">
            <w:pPr>
              <w:rPr>
                <w:rFonts w:asciiTheme="majorHAnsi" w:hAnsiTheme="majorHAnsi"/>
                <w:lang w:val="es-US"/>
              </w:rPr>
            </w:pPr>
          </w:p>
        </w:tc>
      </w:tr>
      <w:tr w:rsidR="00073A0E" w:rsidRPr="00FB124B" w14:paraId="478EE822" w14:textId="77777777" w:rsidTr="00F1121E">
        <w:tc>
          <w:tcPr>
            <w:tcW w:w="4765" w:type="dxa"/>
          </w:tcPr>
          <w:p w14:paraId="45146BD6" w14:textId="6626E0BB" w:rsidR="00073A0E" w:rsidRPr="00F1121E" w:rsidRDefault="00FB124B">
            <w:pPr>
              <w:rPr>
                <w:rFonts w:asciiTheme="majorHAnsi" w:eastAsia="Century Gothic" w:hAnsiTheme="majorHAnsi" w:cs="Century Gothic"/>
                <w:lang w:val="es-US"/>
              </w:rPr>
            </w:pPr>
            <w:bookmarkStart w:id="1" w:name="_gjdgxs" w:colFirst="0" w:colLast="0"/>
            <w:bookmarkEnd w:id="1"/>
            <w:r w:rsidRPr="00F1121E">
              <w:rPr>
                <w:rFonts w:asciiTheme="majorHAnsi" w:eastAsia="Century Gothic" w:hAnsiTheme="majorHAnsi" w:cs="Century Gothic"/>
                <w:lang w:val="es-US"/>
              </w:rPr>
              <w:t>El presentador comparte materiales con los participantes con anticipación o dentro de las 48 horas posteriores a la sesión</w:t>
            </w:r>
            <w:r w:rsidR="00645E85" w:rsidRPr="00F1121E">
              <w:rPr>
                <w:rFonts w:asciiTheme="majorHAnsi" w:eastAsia="Century Gothic" w:hAnsiTheme="majorHAnsi" w:cs="Century Gothic"/>
                <w:lang w:val="es-US"/>
              </w:rPr>
              <w:t>.</w:t>
            </w:r>
          </w:p>
        </w:tc>
        <w:tc>
          <w:tcPr>
            <w:tcW w:w="4595" w:type="dxa"/>
          </w:tcPr>
          <w:p w14:paraId="3B79B7DA" w14:textId="77777777" w:rsidR="00073A0E" w:rsidRPr="00FB124B" w:rsidRDefault="00073A0E">
            <w:pPr>
              <w:rPr>
                <w:rFonts w:asciiTheme="majorHAnsi" w:hAnsiTheme="majorHAnsi"/>
                <w:lang w:val="es-US"/>
              </w:rPr>
            </w:pPr>
          </w:p>
        </w:tc>
      </w:tr>
    </w:tbl>
    <w:p w14:paraId="506C3432" w14:textId="77777777" w:rsidR="00073A0E" w:rsidRPr="00FB124B" w:rsidRDefault="00073A0E">
      <w:pPr>
        <w:rPr>
          <w:rFonts w:asciiTheme="majorHAnsi" w:hAnsiTheme="majorHAnsi"/>
          <w:lang w:val="es-US"/>
        </w:rPr>
      </w:pPr>
    </w:p>
    <w:sectPr w:rsidR="00073A0E" w:rsidRPr="00FB124B">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AFDB7" w14:textId="77777777" w:rsidR="00A73DB9" w:rsidRDefault="00A73DB9">
      <w:pPr>
        <w:spacing w:after="0" w:line="240" w:lineRule="auto"/>
      </w:pPr>
      <w:r>
        <w:separator/>
      </w:r>
    </w:p>
  </w:endnote>
  <w:endnote w:type="continuationSeparator" w:id="0">
    <w:p w14:paraId="3D660709" w14:textId="77777777" w:rsidR="00A73DB9" w:rsidRDefault="00A73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7D9D" w14:textId="3670DF11" w:rsidR="00E40AA0" w:rsidRPr="00E40AA0" w:rsidRDefault="00FB124B" w:rsidP="00E40AA0">
    <w:pPr>
      <w:rPr>
        <w:rFonts w:ascii="Helvetica" w:hAnsi="Helvetica"/>
        <w:color w:val="000000"/>
        <w:sz w:val="14"/>
        <w:szCs w:val="14"/>
      </w:rPr>
    </w:pPr>
    <w:r w:rsidRPr="00FB124B">
      <w:rPr>
        <w:rFonts w:ascii="Helvetica" w:hAnsi="Helvetica"/>
        <w:color w:val="000000"/>
        <w:sz w:val="14"/>
        <w:szCs w:val="14"/>
      </w:rPr>
      <w:t xml:space="preserve">Para </w:t>
    </w:r>
    <w:proofErr w:type="spellStart"/>
    <w:r w:rsidRPr="00FB124B">
      <w:rPr>
        <w:rFonts w:ascii="Helvetica" w:hAnsi="Helvetica"/>
        <w:color w:val="000000"/>
        <w:sz w:val="14"/>
        <w:szCs w:val="14"/>
      </w:rPr>
      <w:t>obtener</w:t>
    </w:r>
    <w:proofErr w:type="spellEnd"/>
    <w:r w:rsidRPr="00FB124B">
      <w:rPr>
        <w:rFonts w:ascii="Helvetica" w:hAnsi="Helvetica"/>
        <w:color w:val="000000"/>
        <w:sz w:val="14"/>
        <w:szCs w:val="14"/>
      </w:rPr>
      <w:t xml:space="preserve"> </w:t>
    </w:r>
    <w:proofErr w:type="spellStart"/>
    <w:r w:rsidRPr="00FB124B">
      <w:rPr>
        <w:rFonts w:ascii="Helvetica" w:hAnsi="Helvetica"/>
        <w:color w:val="000000"/>
        <w:sz w:val="14"/>
        <w:szCs w:val="14"/>
      </w:rPr>
      <w:t>más</w:t>
    </w:r>
    <w:proofErr w:type="spellEnd"/>
    <w:r w:rsidRPr="00FB124B">
      <w:rPr>
        <w:rFonts w:ascii="Helvetica" w:hAnsi="Helvetica"/>
        <w:color w:val="000000"/>
        <w:sz w:val="14"/>
        <w:szCs w:val="14"/>
      </w:rPr>
      <w:t xml:space="preserve"> </w:t>
    </w:r>
    <w:proofErr w:type="spellStart"/>
    <w:r w:rsidRPr="00FB124B">
      <w:rPr>
        <w:rFonts w:ascii="Helvetica" w:hAnsi="Helvetica"/>
        <w:color w:val="000000"/>
        <w:sz w:val="14"/>
        <w:szCs w:val="14"/>
      </w:rPr>
      <w:t>información</w:t>
    </w:r>
    <w:proofErr w:type="spellEnd"/>
    <w:r w:rsidRPr="00FB124B">
      <w:rPr>
        <w:rFonts w:ascii="Helvetica" w:hAnsi="Helvetica"/>
        <w:color w:val="000000"/>
        <w:sz w:val="14"/>
        <w:szCs w:val="14"/>
      </w:rPr>
      <w:t xml:space="preserve">, </w:t>
    </w:r>
    <w:proofErr w:type="spellStart"/>
    <w:r w:rsidRPr="00FB124B">
      <w:rPr>
        <w:rFonts w:ascii="Helvetica" w:hAnsi="Helvetica"/>
        <w:color w:val="000000"/>
        <w:sz w:val="14"/>
        <w:szCs w:val="14"/>
      </w:rPr>
      <w:t>herramientas</w:t>
    </w:r>
    <w:proofErr w:type="spellEnd"/>
    <w:r w:rsidRPr="00FB124B">
      <w:rPr>
        <w:rFonts w:ascii="Helvetica" w:hAnsi="Helvetica"/>
        <w:color w:val="000000"/>
        <w:sz w:val="14"/>
        <w:szCs w:val="14"/>
      </w:rPr>
      <w:t xml:space="preserve"> y </w:t>
    </w:r>
    <w:proofErr w:type="spellStart"/>
    <w:r w:rsidRPr="00FB124B">
      <w:rPr>
        <w:rFonts w:ascii="Helvetica" w:hAnsi="Helvetica"/>
        <w:color w:val="000000"/>
        <w:sz w:val="14"/>
        <w:szCs w:val="14"/>
      </w:rPr>
      <w:t>recursos</w:t>
    </w:r>
    <w:proofErr w:type="spellEnd"/>
    <w:r w:rsidRPr="00FB124B">
      <w:rPr>
        <w:rFonts w:ascii="Helvetica" w:hAnsi="Helvetica"/>
        <w:color w:val="000000"/>
        <w:sz w:val="14"/>
        <w:szCs w:val="14"/>
      </w:rPr>
      <w:t xml:space="preserve">, </w:t>
    </w:r>
    <w:proofErr w:type="spellStart"/>
    <w:r w:rsidRPr="00FB124B">
      <w:rPr>
        <w:rFonts w:ascii="Helvetica" w:hAnsi="Helvetica"/>
        <w:color w:val="000000"/>
        <w:sz w:val="14"/>
        <w:szCs w:val="14"/>
      </w:rPr>
      <w:t>visit</w:t>
    </w:r>
    <w:r w:rsidR="0051177F">
      <w:rPr>
        <w:rFonts w:ascii="Helvetica" w:hAnsi="Helvetica"/>
        <w:color w:val="000000"/>
        <w:sz w:val="14"/>
        <w:szCs w:val="14"/>
      </w:rPr>
      <w:t>e</w:t>
    </w:r>
    <w:proofErr w:type="spellEnd"/>
    <w:r w:rsidRPr="00FB124B">
      <w:rPr>
        <w:rFonts w:ascii="Helvetica" w:hAnsi="Helvetica"/>
        <w:color w:val="000000"/>
        <w:sz w:val="14"/>
        <w:szCs w:val="14"/>
      </w:rPr>
      <w:t xml:space="preserve"> drc.casel.org</w:t>
    </w:r>
    <w:r w:rsidR="00E40AA0" w:rsidRPr="008851B9">
      <w:rPr>
        <w:rFonts w:ascii="Helvetica" w:hAnsi="Helvetica"/>
        <w:color w:val="000000"/>
        <w:sz w:val="14"/>
        <w:szCs w:val="14"/>
      </w:rPr>
      <w:t>.</w:t>
    </w:r>
    <w:r w:rsidR="00E40AA0">
      <w:rPr>
        <w:rFonts w:ascii="Helvetica" w:hAnsi="Helvetica"/>
        <w:color w:val="000000"/>
        <w:sz w:val="14"/>
        <w:szCs w:val="14"/>
      </w:rPr>
      <w:br/>
    </w:r>
    <w:r w:rsidR="00E40AA0" w:rsidRPr="0028489E">
      <w:rPr>
        <w:rFonts w:ascii="Helvetica" w:hAnsi="Helvetica"/>
        <w:b/>
        <w:bCs/>
        <w:color w:val="000000"/>
        <w:sz w:val="14"/>
        <w:szCs w:val="14"/>
      </w:rPr>
      <w:t>Copyright © 2019 | Colla</w:t>
    </w:r>
    <w:r w:rsidR="00E40AA0">
      <w:rPr>
        <w:rFonts w:ascii="Helvetica" w:hAnsi="Helvetica"/>
        <w:b/>
        <w:bCs/>
        <w:color w:val="000000"/>
        <w:sz w:val="14"/>
        <w:szCs w:val="14"/>
      </w:rPr>
      <w:t>b</w:t>
    </w:r>
    <w:r w:rsidR="00E40AA0" w:rsidRPr="0028489E">
      <w:rPr>
        <w:rFonts w:ascii="Helvetica" w:hAnsi="Helvetica"/>
        <w:b/>
        <w:bCs/>
        <w:color w:val="000000"/>
        <w:sz w:val="14"/>
        <w:szCs w:val="14"/>
      </w:rPr>
      <w:t>orative for Academic, Social, and Emotional Learning (CASEL) | casel.org | </w:t>
    </w:r>
    <w:proofErr w:type="spellStart"/>
    <w:r w:rsidRPr="00FB124B">
      <w:rPr>
        <w:rFonts w:ascii="Helvetica" w:hAnsi="Helvetica"/>
        <w:b/>
        <w:bCs/>
        <w:color w:val="000000"/>
        <w:sz w:val="14"/>
        <w:szCs w:val="14"/>
      </w:rPr>
      <w:t>Todos</w:t>
    </w:r>
    <w:proofErr w:type="spellEnd"/>
    <w:r w:rsidRPr="00FB124B">
      <w:rPr>
        <w:rFonts w:ascii="Helvetica" w:hAnsi="Helvetica"/>
        <w:b/>
        <w:bCs/>
        <w:color w:val="000000"/>
        <w:sz w:val="14"/>
        <w:szCs w:val="14"/>
      </w:rPr>
      <w:t xml:space="preserve"> </w:t>
    </w:r>
    <w:proofErr w:type="spellStart"/>
    <w:r w:rsidRPr="00FB124B">
      <w:rPr>
        <w:rFonts w:ascii="Helvetica" w:hAnsi="Helvetica"/>
        <w:b/>
        <w:bCs/>
        <w:color w:val="000000"/>
        <w:sz w:val="14"/>
        <w:szCs w:val="14"/>
      </w:rPr>
      <w:t>los</w:t>
    </w:r>
    <w:proofErr w:type="spellEnd"/>
    <w:r w:rsidRPr="00FB124B">
      <w:rPr>
        <w:rFonts w:ascii="Helvetica" w:hAnsi="Helvetica"/>
        <w:b/>
        <w:bCs/>
        <w:color w:val="000000"/>
        <w:sz w:val="14"/>
        <w:szCs w:val="14"/>
      </w:rPr>
      <w:t xml:space="preserve"> derechos </w:t>
    </w:r>
    <w:proofErr w:type="spellStart"/>
    <w:r w:rsidRPr="00FB124B">
      <w:rPr>
        <w:rFonts w:ascii="Helvetica" w:hAnsi="Helvetica"/>
        <w:b/>
        <w:bCs/>
        <w:color w:val="000000"/>
        <w:sz w:val="14"/>
        <w:szCs w:val="14"/>
      </w:rPr>
      <w:t>reservados</w:t>
    </w:r>
    <w:proofErr w:type="spellEnd"/>
    <w:r w:rsidR="00E40AA0" w:rsidRPr="0028489E">
      <w:rPr>
        <w:rFonts w:ascii="Helvetica" w:hAnsi="Helvetica"/>
        <w:b/>
        <w:bCs/>
        <w:color w:val="000000"/>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13B7A" w14:textId="77777777" w:rsidR="00A73DB9" w:rsidRDefault="00A73DB9">
      <w:pPr>
        <w:spacing w:after="0" w:line="240" w:lineRule="auto"/>
      </w:pPr>
      <w:r>
        <w:separator/>
      </w:r>
    </w:p>
  </w:footnote>
  <w:footnote w:type="continuationSeparator" w:id="0">
    <w:p w14:paraId="08FB3275" w14:textId="77777777" w:rsidR="00A73DB9" w:rsidRDefault="00A73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E354" w14:textId="77777777" w:rsidR="003A7F0C" w:rsidRDefault="003A7F0C">
    <w:pPr>
      <w:rPr>
        <w:noProof/>
      </w:rPr>
    </w:pPr>
  </w:p>
  <w:p w14:paraId="503E7BAE" w14:textId="77777777" w:rsidR="00F1121E" w:rsidRDefault="00E40AA0" w:rsidP="005A0B43">
    <w:pPr>
      <w:spacing w:after="0" w:line="240" w:lineRule="auto"/>
      <w:rPr>
        <w:b/>
        <w:bCs/>
        <w:color w:val="365F91" w:themeColor="accent1" w:themeShade="BF"/>
        <w:sz w:val="28"/>
        <w:szCs w:val="28"/>
      </w:rPr>
    </w:pPr>
    <w:r w:rsidRPr="003A7F0C">
      <w:rPr>
        <w:b/>
        <w:bCs/>
        <w:noProof/>
        <w:color w:val="365F91" w:themeColor="accent1" w:themeShade="BF"/>
      </w:rPr>
      <w:drawing>
        <wp:anchor distT="0" distB="0" distL="114300" distR="114300" simplePos="0" relativeHeight="251658240" behindDoc="1" locked="0" layoutInCell="1" allowOverlap="1" wp14:anchorId="5229DF3D" wp14:editId="03296A67">
          <wp:simplePos x="0" y="0"/>
          <wp:positionH relativeFrom="column">
            <wp:posOffset>0</wp:posOffset>
          </wp:positionH>
          <wp:positionV relativeFrom="paragraph">
            <wp:posOffset>0</wp:posOffset>
          </wp:positionV>
          <wp:extent cx="466725" cy="454025"/>
          <wp:effectExtent l="0" t="0" r="9525" b="3175"/>
          <wp:wrapTight wrapText="bothSides">
            <wp:wrapPolygon edited="0">
              <wp:start x="0" y="0"/>
              <wp:lineTo x="0" y="20845"/>
              <wp:lineTo x="21159" y="20845"/>
              <wp:lineTo x="211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CLogo.jpg"/>
                  <pic:cNvPicPr/>
                </pic:nvPicPr>
                <pic:blipFill rotWithShape="1">
                  <a:blip r:embed="rId1">
                    <a:extLst>
                      <a:ext uri="{28A0092B-C50C-407E-A947-70E740481C1C}">
                        <a14:useLocalDpi xmlns:a14="http://schemas.microsoft.com/office/drawing/2010/main" val="0"/>
                      </a:ext>
                    </a:extLst>
                  </a:blip>
                  <a:srcRect r="72344"/>
                  <a:stretch/>
                </pic:blipFill>
                <pic:spPr bwMode="auto">
                  <a:xfrm>
                    <a:off x="0" y="0"/>
                    <a:ext cx="466725" cy="454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7F0C" w:rsidRPr="003A7F0C">
      <w:rPr>
        <w:b/>
        <w:bCs/>
        <w:color w:val="365F91" w:themeColor="accent1" w:themeShade="BF"/>
        <w:sz w:val="28"/>
        <w:szCs w:val="28"/>
      </w:rPr>
      <w:t xml:space="preserve">Centro de </w:t>
    </w:r>
    <w:proofErr w:type="spellStart"/>
    <w:r w:rsidR="003A7F0C" w:rsidRPr="003A7F0C">
      <w:rPr>
        <w:b/>
        <w:bCs/>
        <w:color w:val="365F91" w:themeColor="accent1" w:themeShade="BF"/>
        <w:sz w:val="28"/>
        <w:szCs w:val="28"/>
      </w:rPr>
      <w:t>recursos</w:t>
    </w:r>
    <w:proofErr w:type="spellEnd"/>
    <w:r w:rsidR="003A7F0C" w:rsidRPr="003A7F0C">
      <w:rPr>
        <w:b/>
        <w:bCs/>
        <w:color w:val="365F91" w:themeColor="accent1" w:themeShade="BF"/>
        <w:sz w:val="28"/>
        <w:szCs w:val="28"/>
      </w:rPr>
      <w:t xml:space="preserve"> </w:t>
    </w:r>
  </w:p>
  <w:p w14:paraId="0EAEF092" w14:textId="58B26E4E" w:rsidR="00073A0E" w:rsidRPr="00F1121E" w:rsidRDefault="003A7F0C" w:rsidP="005A0B43">
    <w:pPr>
      <w:spacing w:after="0" w:line="240" w:lineRule="auto"/>
      <w:rPr>
        <w:b/>
        <w:bCs/>
        <w:color w:val="365F91" w:themeColor="accent1" w:themeShade="BF"/>
        <w:sz w:val="8"/>
        <w:szCs w:val="8"/>
      </w:rPr>
    </w:pPr>
    <w:r w:rsidRPr="003A7F0C">
      <w:rPr>
        <w:b/>
        <w:bCs/>
        <w:color w:val="365F91" w:themeColor="accent1" w:themeShade="BF"/>
        <w:sz w:val="28"/>
        <w:szCs w:val="28"/>
      </w:rPr>
      <w:t xml:space="preserve">del </w:t>
    </w:r>
    <w:r w:rsidR="005005BF">
      <w:rPr>
        <w:b/>
        <w:bCs/>
        <w:color w:val="365F91" w:themeColor="accent1" w:themeShade="BF"/>
        <w:sz w:val="28"/>
        <w:szCs w:val="28"/>
      </w:rPr>
      <w:t>Distrito</w:t>
    </w:r>
  </w:p>
  <w:p w14:paraId="4804C899" w14:textId="77777777" w:rsidR="005005BF" w:rsidRPr="003A7F0C" w:rsidRDefault="005005BF" w:rsidP="005A0B43">
    <w:pPr>
      <w:spacing w:after="0" w:line="240" w:lineRule="auto"/>
      <w:rPr>
        <w:b/>
        <w:bCs/>
        <w:color w:val="365F91" w:themeColor="accent1" w:themeShade="BF"/>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968D1"/>
    <w:multiLevelType w:val="multilevel"/>
    <w:tmpl w:val="D7ECF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62270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A0E"/>
    <w:rsid w:val="00073A0E"/>
    <w:rsid w:val="00082D40"/>
    <w:rsid w:val="00183D51"/>
    <w:rsid w:val="003A7F0C"/>
    <w:rsid w:val="005005BF"/>
    <w:rsid w:val="0051177F"/>
    <w:rsid w:val="005A0B43"/>
    <w:rsid w:val="00645E85"/>
    <w:rsid w:val="00686EEE"/>
    <w:rsid w:val="007B7350"/>
    <w:rsid w:val="009165F1"/>
    <w:rsid w:val="00A73DB9"/>
    <w:rsid w:val="00CE4800"/>
    <w:rsid w:val="00E40AA0"/>
    <w:rsid w:val="00F1121E"/>
    <w:rsid w:val="00FB124B"/>
    <w:rsid w:val="00FF3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71039"/>
  <w15:docId w15:val="{93076B0E-E5DA-814E-BFD1-0836EC9A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E40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AA0"/>
  </w:style>
  <w:style w:type="paragraph" w:styleId="Footer">
    <w:name w:val="footer"/>
    <w:basedOn w:val="Normal"/>
    <w:link w:val="FooterChar"/>
    <w:uiPriority w:val="99"/>
    <w:unhideWhenUsed/>
    <w:rsid w:val="00E40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AA0"/>
  </w:style>
  <w:style w:type="paragraph" w:styleId="BalloonText">
    <w:name w:val="Balloon Text"/>
    <w:basedOn w:val="Normal"/>
    <w:link w:val="BalloonTextChar"/>
    <w:uiPriority w:val="99"/>
    <w:semiHidden/>
    <w:unhideWhenUsed/>
    <w:rsid w:val="00E40AA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0AA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F7D31-65AC-454D-B534-1BCA0650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Schu</cp:lastModifiedBy>
  <cp:revision>8</cp:revision>
  <dcterms:created xsi:type="dcterms:W3CDTF">2023-12-19T22:02:00Z</dcterms:created>
  <dcterms:modified xsi:type="dcterms:W3CDTF">2024-01-26T21:57:00Z</dcterms:modified>
</cp:coreProperties>
</file>